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2A6B13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2A6B1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 xml:space="preserve">Изучите перечень категорий граждан, имеющих право на </w:t>
      </w:r>
      <w:proofErr w:type="gramStart"/>
      <w:r w:rsidRPr="00340DC5">
        <w:rPr>
          <w:rFonts w:ascii="Times New Roman" w:hAnsi="Times New Roman" w:cs="Times New Roman"/>
          <w:sz w:val="36"/>
          <w:szCs w:val="36"/>
        </w:rPr>
        <w:t>бесплатную</w:t>
      </w:r>
      <w:proofErr w:type="gramEnd"/>
      <w:r w:rsidRPr="00340DC5">
        <w:rPr>
          <w:rFonts w:ascii="Times New Roman" w:hAnsi="Times New Roman" w:cs="Times New Roman"/>
          <w:sz w:val="36"/>
          <w:szCs w:val="36"/>
        </w:rPr>
        <w:t xml:space="preserve">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2A6B13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60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</w:t>
                        </w:r>
                        <w:proofErr w:type="gramStart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помощи</w:t>
                        </w:r>
                        <w:proofErr w:type="gramEnd"/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по существу поставленного в обращении вопроса</w:t>
                        </w: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9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</w:t>
                        </w:r>
                        <w:proofErr w:type="gramEnd"/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личность</w:t>
                        </w: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8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7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6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5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proofErr w:type="gramStart"/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  <w:proofErr w:type="gramEnd"/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2A6B13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сполнительные органы </w:t>
                        </w:r>
                        <w:proofErr w:type="gram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государственной</w:t>
                        </w:r>
                        <w:proofErr w:type="gram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властиСвердловской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областии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A6B1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федеральные органы исполнительной власти и </w:t>
                        </w:r>
                        <w:proofErr w:type="spellStart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подведомственныеим</w:t>
                        </w:r>
                        <w:proofErr w:type="spellEnd"/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 xml:space="preserve">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</w:t>
      </w:r>
      <w:proofErr w:type="gramStart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2A6B1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4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3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2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2A6B1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proofErr w:type="gramStart"/>
                  <w:r>
                    <w:t>м</w:t>
                  </w:r>
                  <w:proofErr w:type="gramEnd"/>
                  <w:r>
                    <w:t xml:space="preserve">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2A6B1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 xml:space="preserve">вается в случаях, </w:t>
      </w:r>
      <w:proofErr w:type="spellStart"/>
      <w:r w:rsidR="00500DE3">
        <w:rPr>
          <w:rFonts w:ascii="Times New Roman" w:hAnsi="Times New Roman" w:cs="Times New Roman"/>
          <w:sz w:val="36"/>
          <w:szCs w:val="36"/>
        </w:rPr>
        <w:t>установленных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Федеральным</w:t>
      </w:r>
      <w:proofErr w:type="spellEnd"/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законом от 21 ноября 2011 года 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отказ работодателя в заключени</w:t>
      </w: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с трудовой </w:t>
      </w:r>
      <w:proofErr w:type="spellStart"/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деятельностью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</w:t>
      </w:r>
      <w:proofErr w:type="spellEnd"/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2A6B1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1" type="#_x0000_t13" style="position:absolute;left:0;text-align:left;margin-left:294.75pt;margin-top:5.2pt;width:68.25pt;height:21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027D4E" w:rsidRPr="00DD3F54" w:rsidRDefault="002A6B13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50" type="#_x0000_t13" style="position:absolute;left:0;text-align:left;margin-left:291pt;margin-top:4.45pt;width:68.25pt;height:21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2A6B1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9" type="#_x0000_t13" style="position:absolute;left:0;text-align:left;margin-left:294.75pt;margin-top:14.9pt;width:68.25pt;height:21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2A6B1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8" type="#_x0000_t13" style="position:absolute;left:0;text-align:left;margin-left:291pt;margin-top:.3pt;width:68.25pt;height:21pt;z-index:25170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</w:pic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</w:t>
            </w:r>
            <w:proofErr w:type="gramStart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2A6B1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7" type="#_x0000_t13" style="position:absolute;left:0;text-align:left;margin-left:291pt;margin-top:10.45pt;width:68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</w:p>
          <w:p w:rsidR="00DD3F54" w:rsidRPr="00DD3F54" w:rsidRDefault="002A6B1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6" type="#_x0000_t13" style="position:absolute;left:0;text-align:left;margin-left:291pt;margin-top:12.3pt;width:68.25pt;height:21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2A6B13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5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2A6B13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44" type="#_x0000_t55" style="position:absolute;left:0;text-align:left;margin-left:77.55pt;margin-top:.55pt;width:36.75pt;height:12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  <w:proofErr w:type="gramEnd"/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2A6B13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  <w:proofErr w:type="gram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2A6B1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54-303а, тел.: 245-93-98,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2A6B1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гражданское право, уголовное право, </w:t>
      </w:r>
      <w:proofErr w:type="gram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2A6B1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2A6B1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B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гражданское право, жилищное право, семейное право, трудовое право,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>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A6B13"/>
    <w:rsid w:val="002B2C2F"/>
    <w:rsid w:val="002D4CB6"/>
    <w:rsid w:val="00321A2B"/>
    <w:rsid w:val="003324A2"/>
    <w:rsid w:val="003338DA"/>
    <w:rsid w:val="00340DC5"/>
    <w:rsid w:val="00360201"/>
    <w:rsid w:val="00367669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32E8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D38F-9A19-450F-8495-C4960280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1</cp:lastModifiedBy>
  <cp:revision>2</cp:revision>
  <cp:lastPrinted>2018-12-29T06:37:00Z</cp:lastPrinted>
  <dcterms:created xsi:type="dcterms:W3CDTF">2019-03-11T06:03:00Z</dcterms:created>
  <dcterms:modified xsi:type="dcterms:W3CDTF">2019-03-11T06:03:00Z</dcterms:modified>
</cp:coreProperties>
</file>